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DF4" w:rsidRDefault="00307902" w:rsidP="00A95DF4">
      <w:pPr>
        <w:rPr>
          <w:rFonts w:ascii="Arial" w:hAnsi="Arial" w:cs="Arial"/>
        </w:rPr>
      </w:pPr>
      <w:r>
        <w:rPr>
          <w:rFonts w:ascii="Arial" w:hAnsi="Arial" w:cs="Arial"/>
          <w:noProof/>
          <w:sz w:val="32"/>
          <w:szCs w:val="32"/>
          <w:lang w:eastAsia="cs-CZ"/>
        </w:rPr>
        <w:drawing>
          <wp:anchor distT="0" distB="0" distL="114300" distR="114300" simplePos="0" relativeHeight="251658240" behindDoc="1" locked="0" layoutInCell="1" allowOverlap="1">
            <wp:simplePos x="0" y="0"/>
            <wp:positionH relativeFrom="column">
              <wp:posOffset>-4445</wp:posOffset>
            </wp:positionH>
            <wp:positionV relativeFrom="page">
              <wp:posOffset>895350</wp:posOffset>
            </wp:positionV>
            <wp:extent cx="847725" cy="885825"/>
            <wp:effectExtent l="0" t="0" r="9525" b="9525"/>
            <wp:wrapTight wrapText="bothSides">
              <wp:wrapPolygon edited="0">
                <wp:start x="0" y="0"/>
                <wp:lineTo x="0" y="21368"/>
                <wp:lineTo x="21357" y="21368"/>
                <wp:lineTo x="21357"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ýstřižekznak.PNG"/>
                    <pic:cNvPicPr/>
                  </pic:nvPicPr>
                  <pic:blipFill>
                    <a:blip r:embed="rId5">
                      <a:extLst>
                        <a:ext uri="{28A0092B-C50C-407E-A947-70E740481C1C}">
                          <a14:useLocalDpi xmlns:a14="http://schemas.microsoft.com/office/drawing/2010/main" val="0"/>
                        </a:ext>
                      </a:extLst>
                    </a:blip>
                    <a:stretch>
                      <a:fillRect/>
                    </a:stretch>
                  </pic:blipFill>
                  <pic:spPr>
                    <a:xfrm>
                      <a:off x="0" y="0"/>
                      <a:ext cx="847725" cy="885825"/>
                    </a:xfrm>
                    <a:prstGeom prst="rect">
                      <a:avLst/>
                    </a:prstGeom>
                  </pic:spPr>
                </pic:pic>
              </a:graphicData>
            </a:graphic>
          </wp:anchor>
        </w:drawing>
      </w:r>
      <w:r w:rsidR="00A95DF4">
        <w:rPr>
          <w:rFonts w:ascii="Arial" w:hAnsi="Arial" w:cs="Arial"/>
          <w:sz w:val="32"/>
          <w:szCs w:val="32"/>
        </w:rPr>
        <w:t xml:space="preserve">Obec Chyňava okres </w:t>
      </w:r>
      <w:proofErr w:type="gramStart"/>
      <w:r w:rsidR="00A95DF4">
        <w:rPr>
          <w:rFonts w:ascii="Arial" w:hAnsi="Arial" w:cs="Arial"/>
          <w:sz w:val="32"/>
          <w:szCs w:val="32"/>
        </w:rPr>
        <w:t>Beroun</w:t>
      </w:r>
      <w:r w:rsidR="00A95DF4">
        <w:rPr>
          <w:rFonts w:ascii="Arial" w:hAnsi="Arial" w:cs="Arial"/>
          <w:sz w:val="36"/>
          <w:szCs w:val="36"/>
        </w:rPr>
        <w:t xml:space="preserve">                                     </w:t>
      </w:r>
      <w:r w:rsidR="00A95DF4">
        <w:rPr>
          <w:rFonts w:ascii="Arial" w:hAnsi="Arial" w:cs="Arial"/>
          <w:sz w:val="24"/>
          <w:szCs w:val="24"/>
        </w:rPr>
        <w:t xml:space="preserve">      </w:t>
      </w:r>
      <w:r w:rsidR="00A95DF4">
        <w:rPr>
          <w:rFonts w:ascii="Arial" w:hAnsi="Arial" w:cs="Arial"/>
        </w:rPr>
        <w:t>Chyňava</w:t>
      </w:r>
      <w:proofErr w:type="gramEnd"/>
      <w:r w:rsidR="00A95DF4">
        <w:rPr>
          <w:rFonts w:ascii="Arial" w:hAnsi="Arial" w:cs="Arial"/>
        </w:rPr>
        <w:t xml:space="preserve"> 39, PSČ 267 07, Tel 311 691</w:t>
      </w:r>
      <w:r>
        <w:rPr>
          <w:rFonts w:ascii="Arial" w:hAnsi="Arial" w:cs="Arial"/>
        </w:rPr>
        <w:t xml:space="preserve"> 122 </w:t>
      </w:r>
      <w:bookmarkStart w:id="0" w:name="_GoBack"/>
      <w:bookmarkEnd w:id="0"/>
      <w:r w:rsidR="00A95DF4">
        <w:rPr>
          <w:rFonts w:ascii="Arial" w:hAnsi="Arial" w:cs="Arial"/>
        </w:rPr>
        <w:t>e-mail: podatelna@chynava.cz</w:t>
      </w:r>
    </w:p>
    <w:p w:rsidR="00A95DF4" w:rsidRDefault="00A95DF4" w:rsidP="00A95DF4"/>
    <w:p w:rsidR="00A95DF4" w:rsidRDefault="00A95DF4" w:rsidP="00A95DF4">
      <w:pPr>
        <w:jc w:val="center"/>
        <w:rPr>
          <w:rFonts w:ascii="Arial" w:hAnsi="Arial" w:cs="Arial"/>
          <w:b/>
          <w:sz w:val="28"/>
          <w:szCs w:val="28"/>
        </w:rPr>
      </w:pPr>
      <w:r>
        <w:rPr>
          <w:rFonts w:ascii="Arial" w:hAnsi="Arial" w:cs="Arial"/>
          <w:b/>
          <w:sz w:val="28"/>
          <w:szCs w:val="28"/>
        </w:rPr>
        <w:t>Pravidla pro poskytování finančních dotací/příspěvků v roce 201</w:t>
      </w:r>
      <w:r w:rsidR="00154B30">
        <w:rPr>
          <w:rFonts w:ascii="Arial" w:hAnsi="Arial" w:cs="Arial"/>
          <w:b/>
          <w:sz w:val="28"/>
          <w:szCs w:val="28"/>
        </w:rPr>
        <w:t>9</w:t>
      </w:r>
    </w:p>
    <w:p w:rsidR="00A95DF4" w:rsidRDefault="00A95DF4" w:rsidP="00A95DF4">
      <w:pPr>
        <w:rPr>
          <w:rFonts w:ascii="Arial" w:hAnsi="Arial" w:cs="Arial"/>
        </w:rPr>
      </w:pPr>
    </w:p>
    <w:p w:rsidR="00A95DF4" w:rsidRDefault="00A95DF4" w:rsidP="00A95DF4">
      <w:pPr>
        <w:rPr>
          <w:rFonts w:ascii="Arial" w:hAnsi="Arial" w:cs="Arial"/>
        </w:rPr>
      </w:pPr>
      <w:r>
        <w:rPr>
          <w:rFonts w:ascii="Arial" w:hAnsi="Arial" w:cs="Arial"/>
        </w:rPr>
        <w:t>1/ Úvodní ustanovení:</w:t>
      </w:r>
    </w:p>
    <w:p w:rsidR="00A95DF4" w:rsidRDefault="00A95DF4" w:rsidP="00A95DF4">
      <w:pPr>
        <w:pStyle w:val="Odstavecseseznamem"/>
        <w:numPr>
          <w:ilvl w:val="0"/>
          <w:numId w:val="1"/>
        </w:numPr>
        <w:rPr>
          <w:rFonts w:ascii="Arial" w:hAnsi="Arial" w:cs="Arial"/>
        </w:rPr>
      </w:pPr>
      <w:r>
        <w:rPr>
          <w:rFonts w:ascii="Arial" w:hAnsi="Arial" w:cs="Arial"/>
        </w:rPr>
        <w:t>Tato pravidla upravují postup pro rozhodování o přidělení finančních dotací/příspěvků obcí Chyňava.</w:t>
      </w:r>
    </w:p>
    <w:p w:rsidR="00A95DF4" w:rsidRDefault="00A95DF4" w:rsidP="00A95DF4">
      <w:pPr>
        <w:pStyle w:val="Odstavecseseznamem"/>
        <w:numPr>
          <w:ilvl w:val="0"/>
          <w:numId w:val="1"/>
        </w:numPr>
        <w:rPr>
          <w:rFonts w:ascii="Arial" w:hAnsi="Arial" w:cs="Arial"/>
        </w:rPr>
      </w:pPr>
      <w:r>
        <w:rPr>
          <w:rFonts w:ascii="Arial" w:hAnsi="Arial" w:cs="Arial"/>
        </w:rPr>
        <w:t>Výše dotací/příspěvků jsou závislé na finančních možnostech obce a jejich poskytování není nárokové.</w:t>
      </w:r>
    </w:p>
    <w:p w:rsidR="00A95DF4" w:rsidRDefault="00A95DF4" w:rsidP="00A95DF4">
      <w:pPr>
        <w:pStyle w:val="Odstavecseseznamem"/>
        <w:numPr>
          <w:ilvl w:val="0"/>
          <w:numId w:val="1"/>
        </w:numPr>
        <w:rPr>
          <w:rFonts w:ascii="Arial" w:hAnsi="Arial" w:cs="Arial"/>
        </w:rPr>
      </w:pPr>
      <w:r>
        <w:rPr>
          <w:rFonts w:ascii="Arial" w:hAnsi="Arial" w:cs="Arial"/>
        </w:rPr>
        <w:t>Dotace/příspěvky se přidělují pro příslušný rok.</w:t>
      </w:r>
    </w:p>
    <w:p w:rsidR="00A95DF4" w:rsidRDefault="00A95DF4" w:rsidP="00A95DF4">
      <w:pPr>
        <w:pStyle w:val="Odstavecseseznamem"/>
        <w:numPr>
          <w:ilvl w:val="0"/>
          <w:numId w:val="1"/>
        </w:numPr>
        <w:rPr>
          <w:rFonts w:ascii="Arial" w:hAnsi="Arial" w:cs="Arial"/>
        </w:rPr>
      </w:pPr>
      <w:r>
        <w:rPr>
          <w:rFonts w:ascii="Arial" w:hAnsi="Arial" w:cs="Arial"/>
        </w:rPr>
        <w:t>Žádat o dotaci/příspěvek mohou jen spolky, které jsou řádně registrovány, mají přiděleno IČ. Dále mohou žádat o dotaci/příspěvek fyzické osoby, ale pouze v oblasti sociální, kulturní a sportovní.</w:t>
      </w:r>
    </w:p>
    <w:p w:rsidR="00A95DF4" w:rsidRDefault="00A95DF4" w:rsidP="00A95DF4">
      <w:pPr>
        <w:rPr>
          <w:rFonts w:ascii="Arial" w:hAnsi="Arial" w:cs="Arial"/>
        </w:rPr>
      </w:pPr>
      <w:r>
        <w:rPr>
          <w:rFonts w:ascii="Arial" w:hAnsi="Arial" w:cs="Arial"/>
        </w:rPr>
        <w:t>2/ Náležitosti žádosti:</w:t>
      </w:r>
    </w:p>
    <w:p w:rsidR="00A95DF4" w:rsidRDefault="00A95DF4" w:rsidP="00A95DF4">
      <w:pPr>
        <w:pStyle w:val="Odstavecseseznamem"/>
        <w:numPr>
          <w:ilvl w:val="0"/>
          <w:numId w:val="2"/>
        </w:numPr>
        <w:rPr>
          <w:rFonts w:ascii="Arial" w:hAnsi="Arial" w:cs="Arial"/>
          <w:b/>
          <w:u w:val="single"/>
        </w:rPr>
      </w:pPr>
      <w:r>
        <w:rPr>
          <w:rFonts w:ascii="Arial" w:hAnsi="Arial" w:cs="Arial"/>
        </w:rPr>
        <w:t xml:space="preserve">Žádosti se podávají na předepsaném formuláři (výjimečně jinak), v jednom vyhotovení v podatelně OÚ </w:t>
      </w:r>
      <w:r>
        <w:rPr>
          <w:rFonts w:ascii="Arial" w:hAnsi="Arial" w:cs="Arial"/>
          <w:b/>
          <w:u w:val="single"/>
        </w:rPr>
        <w:t>do p</w:t>
      </w:r>
      <w:r w:rsidR="002157F5">
        <w:rPr>
          <w:rFonts w:ascii="Arial" w:hAnsi="Arial" w:cs="Arial"/>
          <w:b/>
          <w:u w:val="single"/>
        </w:rPr>
        <w:t>átku</w:t>
      </w:r>
      <w:r>
        <w:rPr>
          <w:rFonts w:ascii="Arial" w:hAnsi="Arial" w:cs="Arial"/>
          <w:b/>
          <w:u w:val="single"/>
        </w:rPr>
        <w:t xml:space="preserve"> </w:t>
      </w:r>
      <w:r w:rsidR="002157F5">
        <w:rPr>
          <w:rFonts w:ascii="Arial" w:hAnsi="Arial" w:cs="Arial"/>
          <w:b/>
          <w:u w:val="single"/>
        </w:rPr>
        <w:t>23</w:t>
      </w:r>
      <w:r>
        <w:rPr>
          <w:rFonts w:ascii="Arial" w:hAnsi="Arial" w:cs="Arial"/>
          <w:b/>
          <w:u w:val="single"/>
        </w:rPr>
        <w:t>. listopadu 201</w:t>
      </w:r>
      <w:r w:rsidR="00154B30">
        <w:rPr>
          <w:rFonts w:ascii="Arial" w:hAnsi="Arial" w:cs="Arial"/>
          <w:b/>
          <w:u w:val="single"/>
        </w:rPr>
        <w:t>8</w:t>
      </w:r>
      <w:r>
        <w:rPr>
          <w:rFonts w:ascii="Arial" w:hAnsi="Arial" w:cs="Arial"/>
          <w:b/>
          <w:u w:val="single"/>
        </w:rPr>
        <w:t>, do 1</w:t>
      </w:r>
      <w:r w:rsidR="002157F5">
        <w:rPr>
          <w:rFonts w:ascii="Arial" w:hAnsi="Arial" w:cs="Arial"/>
          <w:b/>
          <w:u w:val="single"/>
        </w:rPr>
        <w:t>1</w:t>
      </w:r>
      <w:r>
        <w:rPr>
          <w:rFonts w:ascii="Arial" w:hAnsi="Arial" w:cs="Arial"/>
          <w:b/>
          <w:u w:val="single"/>
        </w:rPr>
        <w:t>.00 hodin.</w:t>
      </w:r>
    </w:p>
    <w:p w:rsidR="00A95DF4" w:rsidRDefault="00A95DF4" w:rsidP="00A95DF4">
      <w:pPr>
        <w:rPr>
          <w:rFonts w:ascii="Arial" w:hAnsi="Arial" w:cs="Arial"/>
        </w:rPr>
      </w:pPr>
      <w:r>
        <w:rPr>
          <w:rFonts w:ascii="Arial" w:hAnsi="Arial" w:cs="Arial"/>
        </w:rPr>
        <w:t>3/ Priority při přidělování dotací:</w:t>
      </w:r>
    </w:p>
    <w:p w:rsidR="00A95DF4" w:rsidRDefault="00A95DF4" w:rsidP="00A95DF4">
      <w:pPr>
        <w:pStyle w:val="Odstavecseseznamem"/>
        <w:numPr>
          <w:ilvl w:val="0"/>
          <w:numId w:val="3"/>
        </w:numPr>
        <w:rPr>
          <w:rFonts w:ascii="Arial" w:hAnsi="Arial" w:cs="Arial"/>
        </w:rPr>
      </w:pPr>
      <w:r>
        <w:rPr>
          <w:rFonts w:ascii="Arial" w:hAnsi="Arial" w:cs="Arial"/>
        </w:rPr>
        <w:t>Aktivity soustřeďující se na práci s mládeží a dětmi</w:t>
      </w:r>
    </w:p>
    <w:p w:rsidR="00A95DF4" w:rsidRDefault="00A95DF4" w:rsidP="00A95DF4">
      <w:pPr>
        <w:pStyle w:val="Odstavecseseznamem"/>
        <w:numPr>
          <w:ilvl w:val="0"/>
          <w:numId w:val="3"/>
        </w:numPr>
        <w:rPr>
          <w:rFonts w:ascii="Arial" w:hAnsi="Arial" w:cs="Arial"/>
        </w:rPr>
      </w:pPr>
      <w:r>
        <w:rPr>
          <w:rFonts w:ascii="Arial" w:hAnsi="Arial" w:cs="Arial"/>
        </w:rPr>
        <w:t>Aktivity s nabídkou pro všechny občany obce</w:t>
      </w:r>
    </w:p>
    <w:p w:rsidR="00A95DF4" w:rsidRDefault="00A95DF4" w:rsidP="00A95DF4">
      <w:pPr>
        <w:pStyle w:val="Odstavecseseznamem"/>
        <w:numPr>
          <w:ilvl w:val="0"/>
          <w:numId w:val="3"/>
        </w:numPr>
        <w:rPr>
          <w:rFonts w:ascii="Arial" w:hAnsi="Arial" w:cs="Arial"/>
        </w:rPr>
      </w:pPr>
      <w:r>
        <w:rPr>
          <w:rFonts w:ascii="Arial" w:hAnsi="Arial" w:cs="Arial"/>
        </w:rPr>
        <w:t>Aktivity propagující obec</w:t>
      </w:r>
    </w:p>
    <w:p w:rsidR="00A95DF4" w:rsidRDefault="00A95DF4" w:rsidP="00A95DF4">
      <w:pPr>
        <w:pStyle w:val="Odstavecseseznamem"/>
        <w:numPr>
          <w:ilvl w:val="0"/>
          <w:numId w:val="3"/>
        </w:numPr>
        <w:rPr>
          <w:rFonts w:ascii="Arial" w:hAnsi="Arial" w:cs="Arial"/>
        </w:rPr>
      </w:pPr>
      <w:r>
        <w:rPr>
          <w:rFonts w:ascii="Arial" w:hAnsi="Arial" w:cs="Arial"/>
        </w:rPr>
        <w:t>Aktivity snažící se o uplatňování principů trvale udržitelného života v obci</w:t>
      </w:r>
    </w:p>
    <w:p w:rsidR="00A95DF4" w:rsidRDefault="00A95DF4" w:rsidP="00A95DF4">
      <w:pPr>
        <w:rPr>
          <w:rFonts w:ascii="Arial" w:hAnsi="Arial" w:cs="Arial"/>
        </w:rPr>
      </w:pPr>
      <w:r>
        <w:rPr>
          <w:rFonts w:ascii="Arial" w:hAnsi="Arial" w:cs="Arial"/>
        </w:rPr>
        <w:t>4/ Přidělení finanční dotace/příspěvku:</w:t>
      </w:r>
    </w:p>
    <w:p w:rsidR="00A95DF4" w:rsidRDefault="00A95DF4" w:rsidP="00A95DF4">
      <w:pPr>
        <w:ind w:left="240"/>
        <w:rPr>
          <w:rFonts w:ascii="Arial" w:hAnsi="Arial" w:cs="Arial"/>
        </w:rPr>
      </w:pPr>
      <w:r>
        <w:rPr>
          <w:rFonts w:ascii="Arial" w:hAnsi="Arial" w:cs="Arial"/>
        </w:rPr>
        <w:t xml:space="preserve">V případě kladného rozhodnutí rady nebo zastupitelstva obce o přidělení dotace/příspěvku bude s žadatelem uzavřena smlouva o poskytnutí dotace/příspěvku. Příjemce dotace/příspěvku souhlasí s tím, že tato veřejnoprávní smlouva bude zveřejněna na webových stránkách obce Chyňava. Schválené finanční prostředky budou žadatelům uvolněny jednorázově, výjimečně jinak, bankovním převodem na číslo účtu, který patří žadateli. Příjemce dotace je pak povinen nejpozději </w:t>
      </w:r>
      <w:r w:rsidRPr="002157F5">
        <w:rPr>
          <w:rFonts w:ascii="Arial" w:hAnsi="Arial" w:cs="Arial"/>
          <w:b/>
          <w:u w:val="single"/>
        </w:rPr>
        <w:t xml:space="preserve">do pátku </w:t>
      </w:r>
      <w:r w:rsidR="0047750C" w:rsidRPr="002157F5">
        <w:rPr>
          <w:rFonts w:ascii="Arial" w:hAnsi="Arial" w:cs="Arial"/>
          <w:b/>
          <w:u w:val="single"/>
        </w:rPr>
        <w:t>13. 12. 2019</w:t>
      </w:r>
      <w:r>
        <w:rPr>
          <w:rFonts w:ascii="Arial" w:hAnsi="Arial" w:cs="Arial"/>
        </w:rPr>
        <w:t xml:space="preserve"> doložit obci Chyňava využití poskytnutých finančních prostředků. Dodržení smluvních podmínek má právo kontrolovat finanční a kontrolní výbor obce Chyňava.  </w:t>
      </w:r>
    </w:p>
    <w:p w:rsidR="00A95DF4" w:rsidRDefault="00A95DF4" w:rsidP="00A95DF4">
      <w:pPr>
        <w:rPr>
          <w:rFonts w:ascii="Arial" w:hAnsi="Arial" w:cs="Arial"/>
        </w:rPr>
      </w:pPr>
    </w:p>
    <w:p w:rsidR="00A95DF4" w:rsidRDefault="00A95DF4" w:rsidP="00A95DF4">
      <w:pPr>
        <w:rPr>
          <w:rFonts w:ascii="Arial" w:hAnsi="Arial" w:cs="Arial"/>
        </w:rPr>
      </w:pPr>
    </w:p>
    <w:p w:rsidR="00A95DF4" w:rsidRDefault="00A95DF4" w:rsidP="00A95DF4">
      <w:pPr>
        <w:rPr>
          <w:rFonts w:ascii="Arial" w:hAnsi="Arial" w:cs="Arial"/>
          <w:b/>
        </w:rPr>
      </w:pPr>
      <w:r>
        <w:rPr>
          <w:rFonts w:ascii="Arial" w:hAnsi="Arial" w:cs="Arial"/>
          <w:b/>
        </w:rPr>
        <w:t>T</w:t>
      </w:r>
      <w:r w:rsidR="005175EE">
        <w:rPr>
          <w:rFonts w:ascii="Arial" w:hAnsi="Arial" w:cs="Arial"/>
          <w:b/>
        </w:rPr>
        <w:t xml:space="preserve">ato pravidla byla schválena </w:t>
      </w:r>
      <w:r>
        <w:rPr>
          <w:rFonts w:ascii="Arial" w:hAnsi="Arial" w:cs="Arial"/>
          <w:b/>
        </w:rPr>
        <w:t xml:space="preserve">na jednání rady obce dne </w:t>
      </w:r>
      <w:r w:rsidR="002157F5">
        <w:rPr>
          <w:rFonts w:ascii="Arial" w:hAnsi="Arial" w:cs="Arial"/>
          <w:b/>
        </w:rPr>
        <w:t>22</w:t>
      </w:r>
      <w:r w:rsidR="0047750C">
        <w:rPr>
          <w:rFonts w:ascii="Arial" w:hAnsi="Arial" w:cs="Arial"/>
          <w:b/>
        </w:rPr>
        <w:t>. 10</w:t>
      </w:r>
      <w:r>
        <w:rPr>
          <w:rFonts w:ascii="Arial" w:hAnsi="Arial" w:cs="Arial"/>
          <w:b/>
        </w:rPr>
        <w:t>. 201</w:t>
      </w:r>
      <w:r w:rsidR="0047750C">
        <w:rPr>
          <w:rFonts w:ascii="Arial" w:hAnsi="Arial" w:cs="Arial"/>
          <w:b/>
        </w:rPr>
        <w:t>8</w:t>
      </w:r>
    </w:p>
    <w:p w:rsidR="00A95DF4" w:rsidRDefault="00A95DF4" w:rsidP="00A95DF4">
      <w:pPr>
        <w:rPr>
          <w:rFonts w:ascii="Arial" w:hAnsi="Arial" w:cs="Arial"/>
        </w:rPr>
      </w:pPr>
      <w:r>
        <w:rPr>
          <w:rFonts w:ascii="Arial" w:hAnsi="Arial" w:cs="Arial"/>
        </w:rPr>
        <w:t xml:space="preserve">                                                                            </w:t>
      </w:r>
    </w:p>
    <w:p w:rsidR="00A95DF4" w:rsidRDefault="00A95DF4" w:rsidP="00A95DF4">
      <w:pPr>
        <w:rPr>
          <w:rFonts w:ascii="Arial" w:hAnsi="Arial" w:cs="Arial"/>
        </w:rPr>
      </w:pPr>
      <w:r>
        <w:rPr>
          <w:rFonts w:ascii="Arial" w:hAnsi="Arial" w:cs="Arial"/>
        </w:rPr>
        <w:t xml:space="preserve">                                                                                                    Václav Kšír, starosta </w:t>
      </w:r>
    </w:p>
    <w:p w:rsidR="00305E01" w:rsidRDefault="00305E01"/>
    <w:sectPr w:rsidR="00305E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08E6"/>
    <w:multiLevelType w:val="hybridMultilevel"/>
    <w:tmpl w:val="4D8AF976"/>
    <w:lvl w:ilvl="0" w:tplc="588AFF06">
      <w:start w:val="1"/>
      <w:numFmt w:val="bullet"/>
      <w:lvlText w:val="-"/>
      <w:lvlJc w:val="left"/>
      <w:pPr>
        <w:ind w:left="720" w:hanging="360"/>
      </w:pPr>
      <w:rPr>
        <w:rFonts w:ascii="Calibri" w:eastAsiaTheme="minorHAnsi" w:hAnsi="Calibri" w:cstheme="minorBid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254D464E"/>
    <w:multiLevelType w:val="hybridMultilevel"/>
    <w:tmpl w:val="6DACD9CC"/>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693267B3"/>
    <w:multiLevelType w:val="hybridMultilevel"/>
    <w:tmpl w:val="B344E470"/>
    <w:lvl w:ilvl="0" w:tplc="E74CCD40">
      <w:start w:val="1"/>
      <w:numFmt w:val="lowerLetter"/>
      <w:lvlText w:val="%1)"/>
      <w:lvlJc w:val="left"/>
      <w:pPr>
        <w:ind w:left="69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F4"/>
    <w:rsid w:val="00154B30"/>
    <w:rsid w:val="002157F5"/>
    <w:rsid w:val="00305E01"/>
    <w:rsid w:val="00307902"/>
    <w:rsid w:val="0047750C"/>
    <w:rsid w:val="005175EE"/>
    <w:rsid w:val="00737789"/>
    <w:rsid w:val="009D58E7"/>
    <w:rsid w:val="00A95DF4"/>
    <w:rsid w:val="00C63C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9EAF4-3B6A-4028-A46C-FA471881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5DF4"/>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95DF4"/>
    <w:pPr>
      <w:ind w:left="720"/>
      <w:contextualSpacing/>
    </w:pPr>
  </w:style>
  <w:style w:type="paragraph" w:styleId="Textbubliny">
    <w:name w:val="Balloon Text"/>
    <w:basedOn w:val="Normln"/>
    <w:link w:val="TextbublinyChar"/>
    <w:uiPriority w:val="99"/>
    <w:semiHidden/>
    <w:unhideWhenUsed/>
    <w:rsid w:val="0030790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79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73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293</Words>
  <Characters>1734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9</cp:revision>
  <cp:lastPrinted>2018-10-25T06:10:00Z</cp:lastPrinted>
  <dcterms:created xsi:type="dcterms:W3CDTF">2018-10-17T09:07:00Z</dcterms:created>
  <dcterms:modified xsi:type="dcterms:W3CDTF">2018-10-25T06:23:00Z</dcterms:modified>
</cp:coreProperties>
</file>